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0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389"/>
        <w:gridCol w:w="3402"/>
        <w:gridCol w:w="368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9" w:type="dxa"/>
            <w:vAlign w:val="top"/>
            <w:textDirection w:val="lrTb"/>
            <w:noWrap w:val="false"/>
          </w:tcPr>
          <w:p>
            <w:pPr>
              <w:pStyle w:val="974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Председатель РОО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«Федерация триатлона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С.С. Конча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«____»_________202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974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Директор ОКУ «РЦСП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В.В. Мельник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«____»_________202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74"/>
              <w:pBdr/>
              <w:spacing/>
              <w:ind/>
              <w:jc w:val="left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 xml:space="preserve">«СОГЛАСОВАНО»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  <w:p>
            <w:pPr>
              <w:pStyle w:val="974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  <w:t xml:space="preserve">И.о.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  <w:t xml:space="preserve">первого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  <w:t xml:space="preserve">заместителя 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</w:r>
          </w:p>
          <w:p>
            <w:pPr>
              <w:pStyle w:val="974"/>
              <w:pBdr/>
              <w:spacing/>
              <w:ind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  <w:t xml:space="preserve">Министра физической культуры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1"/>
                <w:sz w:val="28"/>
                <w:szCs w:val="28"/>
              </w:rPr>
              <w:t xml:space="preserve">и спорта Челябинской 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974"/>
              <w:pBdr/>
              <w:spacing/>
              <w:ind w:firstLine="0" w:left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А.А.Кодина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74"/>
              <w:pBdr/>
              <w:spacing/>
              <w:ind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«____»___________202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4"/>
        <w:pBdr/>
        <w:spacing w:line="36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ПЕРВЕНСТВА ЧЕЛЯБИНСКОЙ ОБЛАСТИ ПО ТРИАТЛОНУ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(ЕКП № 4017)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категории участников: юноши, девушки 11-12,13-14, 15-17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юниоры, юниорки 16-19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спортивная дисциплина: дуатлон-кросс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г. Миасс 24 мая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1. СРОКИ И МЕСТО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23 по 24 мая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Челябинская область г. Миасс ул. Ильмен-Тау,19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приезда: 23 мая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ОРГАНИЗАТОРЫ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pBdr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Министерство спорта Челябинской области, </w:t>
      </w:r>
      <w:r>
        <w:rPr>
          <w:sz w:val="28"/>
          <w:szCs w:val="28"/>
          <w:lang w:val="ru-RU"/>
        </w:rPr>
        <w:t xml:space="preserve">ОКУ «РЦСП Челябинской области»</w:t>
      </w:r>
      <w:r>
        <w:rPr>
          <w:rFonts w:cs="Times New Roman"/>
          <w:sz w:val="28"/>
          <w:szCs w:val="28"/>
        </w:rPr>
        <w:t xml:space="preserve">, РОО «Федерация триатлона Челябинской области».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r>
        <w:rPr>
          <w:color w:val="000000"/>
          <w:sz w:val="28"/>
          <w:szCs w:val="28"/>
          <w:lang w:eastAsia="ar-SA"/>
        </w:rPr>
        <w:t xml:space="preserve">Миасского городского округа.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r>
        <w:rPr>
          <w:sz w:val="28"/>
          <w:szCs w:val="28"/>
        </w:rPr>
        <w:t xml:space="preserve">-Г</w:t>
      </w:r>
      <w:r>
        <w:rPr>
          <w:sz w:val="28"/>
          <w:szCs w:val="28"/>
        </w:rPr>
        <w:t xml:space="preserve">СК).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К УЧАСТНИКАМ И УСЛОВИЯ ДОПУСКА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официальных спортивных соревнованиях Челябинской области по триатлону на 2026 год к участию в соревнованиях допускаются спортсмены спортивных сборных команд субъектов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Допуск спортсменов осуществляется с официально оформленными спортивными разрядами по триатлону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13-14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III</w:t>
      </w:r>
      <w:r>
        <w:rPr>
          <w:sz w:val="28"/>
          <w:szCs w:val="28"/>
          <w:highlight w:val="none"/>
          <w:lang w:val="ru-RU"/>
        </w:rPr>
        <w:t xml:space="preserve"> юн;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15-17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юн;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  <w:t xml:space="preserve">Юниоры, юниорки 16-19 лет – не ниже </w:t>
      </w:r>
      <w:r>
        <w:rPr>
          <w:sz w:val="28"/>
          <w:szCs w:val="28"/>
          <w:highlight w:val="none"/>
          <w:lang w:val="en-US"/>
        </w:rPr>
        <w:t xml:space="preserve">III</w:t>
      </w:r>
      <w:r>
        <w:rPr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</w:t>
      </w:r>
      <w:r>
        <w:rPr>
          <w:sz w:val="28"/>
          <w:szCs w:val="28"/>
        </w:rPr>
        <w:t xml:space="preserve">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следующие документы на каждого участника: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 (спортсмены не достигшие возраста 14 лет свидетельство о рождении);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книжка, подтверждающая спортивный разряд;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 полис страхования жизни и здоровья от несчастных случаев;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-индивидуальная карта спортсмена (лицензия ФТР);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-сертификат РУСАДА о прохождении онлайн обучения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согласие на обработку персональных данных.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ВОЗРАСТНЫЕ ГРУППЫ И ДИСТАНЦИЯ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9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Spec="center" w:vertAnchor="text" w:tblpY="367" w:leftFromText="180" w:topFromText="0" w:rightFromText="180" w:bottomFromText="160"/>
        <w:tblLook w:val="0400" w:firstRow="0" w:lastRow="0" w:firstColumn="0" w:lastColumn="0" w:noHBand="0" w:noVBand="1"/>
      </w:tblPr>
      <w:tblGrid>
        <w:gridCol w:w="4644"/>
        <w:gridCol w:w="1363"/>
        <w:gridCol w:w="2039"/>
        <w:gridCol w:w="1917"/>
      </w:tblGrid>
      <w:tr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Возрастные категории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велогонка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бег</w:t>
            </w:r>
            <w:r/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Юноши 11-12, 13-14; 15-17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Девушки 11-12, 13-14; 15-17 лет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0,8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Юниоры 16-19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Юниорки 16-19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0"/>
          <w:tab w:val="left" w:leader="none" w:pos="993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pBdr/>
        <w:spacing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ПРОГРАММА И УСЛОВИЯ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6"/>
        <w:pBdr/>
        <w:spacing w:line="276" w:lineRule="auto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проводятся по правилам вида спорта «триатлон»: (</w:t>
      </w:r>
      <w:hyperlink r:id="rId9" w:tooltip="https://minsport.gov.ru/activity/government-regulation/vidy-sporta-razvivaemye-na-obshherossijskom-urovne/letnie-olimpijskie-vidy-sporta-2/triatlon-1/" w:history="1">
        <w:r>
          <w:rPr>
            <w:rStyle w:val="953"/>
            <w:rFonts w:ascii="Times New Roman" w:hAnsi="Times New Roman" w:eastAsia="Times New Roman"/>
            <w:sz w:val="28"/>
            <w:szCs w:val="28"/>
          </w:rPr>
          <w:t xml:space="preserve">https://minsport.gov.ru/activity/government-regulation/vidy-sporta-razvivaemye-na-obshherossijskom-urovne/letnie-olimpijskie-vidy-sporta-2/triatlon-1/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), (дал</w:t>
      </w:r>
      <w:r>
        <w:rPr>
          <w:rFonts w:ascii="Times New Roman" w:hAnsi="Times New Roman" w:eastAsia="Times New Roman"/>
          <w:sz w:val="28"/>
          <w:szCs w:val="28"/>
        </w:rPr>
        <w:t xml:space="preserve">ее -Правила), и правилам Всемирной федерации триатлона.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6"/>
        <w:pBdr/>
        <w:spacing w:line="276" w:lineRule="auto"/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личные.Каждый участник индивидуальной гонки преодолевает 3 сегмента в следующем порядке: бег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+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велогонка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+ бег.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6"/>
        <w:pBdr/>
        <w:spacing w:line="276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Итоговое время начинается со старта до финиша последнего сегмента.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РАСПИСАНИЕ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  <w:u w:val="single"/>
        </w:rPr>
        <w:t xml:space="preserve">23 мая, суббота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15:00-17:00 - </w:t>
      </w:r>
      <w:r>
        <w:rPr>
          <w:sz w:val="28"/>
          <w:szCs w:val="28"/>
          <w:highlight w:val="none"/>
        </w:rPr>
        <w:t xml:space="preserve">работа комиссии по допуску (ул. Ильмен-Тау,19);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16:00 -17:00 – официальная тренировка, просмотр трассы;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17:30 – совещание с представителями команд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18:00 – брифинг с участниками.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24 мая, воскресенье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08:00 -08:30 </w:t>
      </w:r>
      <w:r>
        <w:rPr>
          <w:sz w:val="28"/>
          <w:szCs w:val="28"/>
          <w:highlight w:val="none"/>
        </w:rPr>
        <w:t xml:space="preserve">– открыта транзитная зона для юниоров, юниорок 16-19лет;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08:40 – предстартовое построение юниоры, юниорки 16-19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08:45 – старт юниоры, юниорки 1</w:t>
      </w:r>
      <w:r>
        <w:rPr>
          <w:sz w:val="28"/>
          <w:szCs w:val="28"/>
          <w:highlight w:val="none"/>
        </w:rPr>
        <w:t xml:space="preserve">6-19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09:00 - 09:30 - </w:t>
      </w:r>
      <w:r>
        <w:rPr>
          <w:sz w:val="28"/>
          <w:szCs w:val="28"/>
          <w:highlight w:val="none"/>
        </w:rPr>
        <w:t xml:space="preserve">открыта транзитная зона для юношей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09:40 – предстартовое построение </w:t>
      </w:r>
      <w:r>
        <w:rPr>
          <w:sz w:val="28"/>
          <w:szCs w:val="28"/>
          <w:highlight w:val="none"/>
        </w:rPr>
        <w:t xml:space="preserve">юношей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09:45 – старт </w:t>
      </w:r>
      <w:r>
        <w:rPr>
          <w:sz w:val="28"/>
          <w:szCs w:val="28"/>
          <w:highlight w:val="none"/>
        </w:rPr>
        <w:t xml:space="preserve">юношей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10:00 - 10:30 - </w:t>
      </w:r>
      <w:r>
        <w:rPr>
          <w:sz w:val="28"/>
          <w:szCs w:val="28"/>
          <w:highlight w:val="none"/>
        </w:rPr>
        <w:t xml:space="preserve">открыта транзитная зона для юношей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10:40 – предстартовое построение </w:t>
      </w:r>
      <w:r>
        <w:rPr>
          <w:sz w:val="28"/>
          <w:szCs w:val="28"/>
          <w:highlight w:val="none"/>
        </w:rPr>
        <w:t xml:space="preserve">девушек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10:45 – старт </w:t>
      </w:r>
      <w:r>
        <w:rPr>
          <w:sz w:val="28"/>
          <w:szCs w:val="28"/>
          <w:highlight w:val="none"/>
        </w:rPr>
        <w:t xml:space="preserve">девушек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11:00 - 11:30 - </w:t>
      </w:r>
      <w:r>
        <w:rPr>
          <w:sz w:val="28"/>
          <w:szCs w:val="28"/>
          <w:highlight w:val="none"/>
        </w:rPr>
        <w:t xml:space="preserve">открыта транзитная зона для юношей, девушек 11-12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11:40 – предстартовое построение </w:t>
      </w:r>
      <w:r>
        <w:rPr>
          <w:sz w:val="28"/>
          <w:szCs w:val="28"/>
          <w:highlight w:val="none"/>
        </w:rPr>
        <w:t xml:space="preserve">юношей, девушек 11-12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11:45 – старт </w:t>
      </w:r>
      <w:r>
        <w:rPr>
          <w:sz w:val="28"/>
          <w:szCs w:val="28"/>
          <w:highlight w:val="none"/>
        </w:rPr>
        <w:t xml:space="preserve">юношей, девушек 11-12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14:00 – церемония награждения.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совещании ГСК с представителями команд в регламенте соревнований могут быть внесены изменения.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6. УСЛОВИЯ ПОДВЕДЕНИЯ ИТОГОВ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Победители  и  призеры  спортивных  соревнований  определяются  </w:t>
      </w:r>
      <w:r>
        <w:rPr>
          <w:sz w:val="28"/>
          <w:szCs w:val="28"/>
        </w:rPr>
        <w:t xml:space="preserve">по наименьшему финишному времени.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Протесты подаются в соответствии с Правилами.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 протесту прилагается депозит в сумме 5000 рублей. Все протесты рассматривает апелляционное жюри соревнований. В случае если протест удовлетворен, депозит возвращается заявителю.Если протест не удовлетворен депозит остается в оргкомитете.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 Минспорта  </w:t>
      </w:r>
      <w:r>
        <w:rPr>
          <w:sz w:val="28"/>
          <w:szCs w:val="28"/>
          <w:lang w:val="ru-RU"/>
        </w:rPr>
        <w:t xml:space="preserve">Челябинской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являются окончательными.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lang w:val="ru-RU"/>
        </w:rPr>
        <w:t xml:space="preserve">НАГРАЖДЕНИЕ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Спортсмены-победители  и  призёры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 медалями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грамотами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Минспорт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Челябинской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 спортсменов-победителей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грамотами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Минспорт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Челябинской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Спортсмены-победители, спортсмены занявшие 2-3 места, участвующие в церемонии награждения, должны присутствовать согласно расписанию в парадной форме, в стартовом костюме или в длинном спортивном костюме, в спортивной закрытой обуви.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8. У</w:t>
      </w:r>
      <w:r>
        <w:rPr>
          <w:b/>
          <w:bCs/>
          <w:sz w:val="28"/>
          <w:szCs w:val="28"/>
          <w:lang w:val="ru-RU"/>
        </w:rPr>
        <w:t xml:space="preserve">СЛОВИЯ ФИНАНСИРОВАНИЯ</w:t>
      </w:r>
      <w:r>
        <w:rPr>
          <w:lang w:val="ru-RU"/>
        </w:rPr>
        <w:t xml:space="preserve">    </w:t>
      </w:r>
      <w:r>
        <w:rPr>
          <w:lang w:val="ru-RU"/>
        </w:rPr>
        <w:t xml:space="preserve">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4"/>
        <w:pBdr/>
        <w:spacing/>
        <w:ind w:firstLine="708" w:left="0"/>
        <w:jc w:val="both"/>
        <w:rPr>
          <w:lang w:val="ru-RU"/>
        </w:rPr>
      </w:pPr>
      <w:r>
        <w:rPr>
          <w:lang w:val="ru-RU"/>
        </w:rPr>
        <w:t xml:space="preserve">Расходы по командированию (проезд, питание, размещение и страхование) участников соревнований обеспечивают  командирующие организации. </w:t>
      </w:r>
      <w:r>
        <w:rPr>
          <w:lang w:val="ru-RU"/>
        </w:rPr>
      </w:r>
      <w:r>
        <w:rPr>
          <w:lang w:val="ru-RU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Участники соревнований, которые на официальные даты проведения мероприятия не достигли 18 лет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свобождаются от уплаты стартового взноса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9. ЗАЯВКИ НА УЧАСТИЕ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Регистрация участников в соревнованиях на сайте </w:t>
      </w:r>
      <w:r>
        <w:rPr>
          <w:sz w:val="28"/>
          <w:szCs w:val="28"/>
          <w:highlight w:val="none"/>
          <w:lang w:val="en-US"/>
        </w:rPr>
        <w:t xml:space="preserve">Orgeo </w:t>
      </w:r>
      <w:r>
        <w:rPr>
          <w:sz w:val="28"/>
          <w:szCs w:val="28"/>
          <w:highlight w:val="none"/>
          <w:lang w:val="ru-RU"/>
        </w:rPr>
        <w:t xml:space="preserve">до 23:55 10 мая 2026 г.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ОБЕСПЕЧЕНИЕ БЕЗОПАСНОСТИ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77"/>
        <w:pBdr/>
        <w:spacing w:after="31" w:line="240" w:lineRule="auto"/>
        <w:ind w:firstLine="567" w:left="0"/>
        <w:rPr>
          <w:sz w:val="28"/>
          <w:szCs w:val="28"/>
        </w:rPr>
      </w:pPr>
      <w:r>
        <w:rPr>
          <w:lang w:val="ru-RU"/>
        </w:rPr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оревнования проводятся на спортивных сооружениях, отвечающих требованиям соответствующих нормативных правовых актов</w:t>
      </w:r>
      <w:r>
        <w:rPr>
          <w:sz w:val="28"/>
          <w:szCs w:val="28"/>
          <w:lang w:val="ru-RU"/>
        </w:rPr>
        <w:t xml:space="preserve">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pBdr/>
        <w:spacing w:line="240" w:lineRule="auto"/>
        <w:ind w:right="1" w:firstLine="713" w:left="-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 и принимающая</w:t>
      </w:r>
      <w:r>
        <w:rPr>
          <w:sz w:val="28"/>
          <w:szCs w:val="28"/>
          <w:lang w:val="ru-RU"/>
        </w:rPr>
        <w:t xml:space="preserve"> организация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</w:t>
      </w:r>
      <w:r>
        <w:rPr>
          <w:sz w:val="28"/>
          <w:szCs w:val="28"/>
          <w:lang w:val="ru-RU"/>
        </w:rPr>
        <w:t xml:space="preserve">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pBdr/>
        <w:spacing w:after="3" w:line="240" w:lineRule="auto"/>
        <w:ind w:left="-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  <w:lang w:val="ru-RU"/>
        </w:rPr>
        <w:t xml:space="preserve">спортивных соревнований, утвержденных постановлением Правительства Российской Федерации от 18 апреля 2014 года № 353.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pBdr/>
        <w:spacing w:line="240" w:lineRule="auto"/>
        <w:ind w:right="1" w:firstLine="713" w:left="-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области» совместно с собст</w:t>
      </w:r>
      <w:r>
        <w:rPr>
          <w:sz w:val="28"/>
          <w:szCs w:val="28"/>
          <w:lang w:val="ru-RU"/>
        </w:rPr>
        <w:t xml:space="preserve">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pBdr/>
        <w:spacing/>
        <w:ind w:firstLine="69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</w:t>
      </w:r>
      <w:r>
        <w:rPr>
          <w:sz w:val="28"/>
          <w:szCs w:val="28"/>
          <w:lang w:val="ru-RU"/>
        </w:rPr>
        <w:t xml:space="preserve">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 Оказание медицинской помо</w:t>
      </w:r>
      <w:r>
        <w:rPr>
          <w:sz w:val="28"/>
          <w:szCs w:val="28"/>
          <w:lang w:val="ru-RU"/>
        </w:rPr>
        <w:t xml:space="preserve">щи осуществляется в соответствии с приказом Министерства здравоохранения Российской      Федерации    от    23.10.2020  г.  №1144н   «Об  утверждении  </w:t>
        <w:tab/>
        <w:t xml:space="preserve">порядка организации </w:t>
        <w:tab/>
        <w:t xml:space="preserve">оказания </w:t>
        <w:tab/>
        <w:t xml:space="preserve">медицинской </w:t>
        <w:tab/>
        <w:t xml:space="preserve">помощи лицам, занимающимся физической культурой и спортом…»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pBdr/>
        <w:spacing/>
        <w:ind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>
        <w:rPr>
          <w:sz w:val="28"/>
          <w:szCs w:val="28"/>
          <w:lang w:val="ru-RU"/>
        </w:rPr>
        <w:t xml:space="preserve">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pBdr/>
        <w:spacing/>
        <w:ind w:firstLine="708"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РОО «Федерация триатлона Челябинской области» обеспечивает участников соревнования медицинским персоналом для контроля наличия у участников со</w:t>
      </w:r>
      <w:r>
        <w:rPr>
          <w:sz w:val="28"/>
          <w:szCs w:val="28"/>
          <w:lang w:val="ru-RU"/>
        </w:rPr>
        <w:t xml:space="preserve">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74"/>
        <w:pBdr/>
        <w:spacing/>
        <w:ind w:firstLine="708" w:left="0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</w: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</w:t>
      </w:r>
      <w:r>
        <w:rPr>
          <w:color w:val="000000"/>
          <w:sz w:val="28"/>
          <w:szCs w:val="28"/>
        </w:rPr>
        <w:t xml:space="preserve">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>
        <w:rPr>
          <w:color w:val="000000"/>
          <w:sz w:val="28"/>
          <w:szCs w:val="28"/>
        </w:rPr>
        <w:t xml:space="preserve">атора Соревнований</w:t>
      </w:r>
      <w:r>
        <w:rPr>
          <w:color w:val="000000"/>
          <w:sz w:val="28"/>
          <w:szCs w:val="28"/>
          <w:lang w:eastAsia="ar-SA"/>
        </w:rPr>
        <w:t xml:space="preserve">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30"/>
        </w:tabs>
        <w:spacing w:after="0" w:before="0" w:line="240" w:lineRule="auto"/>
        <w:ind w:right="141" w:firstLine="0" w:left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</w:t>
      </w:r>
      <w:r>
        <w:rPr>
          <w:sz w:val="28"/>
          <w:szCs w:val="28"/>
          <w:lang w:val="ru-RU"/>
        </w:rPr>
        <w:t xml:space="preserve">19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  <w:szCs w:val="28"/>
          <w:lang w:val="ru-RU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pStyle w:val="777"/>
        <w:pBdr/>
        <w:spacing w:line="240" w:lineRule="auto"/>
        <w:ind w:right="50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</w:t>
      </w:r>
      <w:r>
        <w:rPr>
          <w:sz w:val="28"/>
          <w:szCs w:val="28"/>
          <w:lang w:val="ru-RU"/>
        </w:rPr>
        <w:t xml:space="preserve">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№ 1586.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7"/>
        <w:pBdr/>
        <w:spacing w:after="31" w:line="240" w:lineRule="auto"/>
        <w:ind w:firstLine="708" w:left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Ответственность за соблюдение положения</w:t>
      </w:r>
      <w:r>
        <w:rPr>
          <w:sz w:val="28"/>
          <w:szCs w:val="28"/>
          <w:lang w:val="ru-RU"/>
        </w:rPr>
        <w:t xml:space="preserve"> (с учетом дополнений и изменений), возлагается на РОО «Федерацию триатлона Челябинской области» в лице Конча Степана Сергеевича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Статья 152.1 ГК РФ Охрана изображения гражданина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«Принимая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мероприятии, каждый участник даёт своё согласие на фото и/или видеосъёмку и последующую их публикацию на официальных страницах в социальных сетях и на официальных сайтах Управления ФКиС Администрации города Миасса и подведомственных учреждений».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11. КОНТАКТЫ ОРГАНИЗАТОРОВ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Директор сорев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нований – Бородина Елена Валентиновна +79058333803.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h="16838" w:orient="portrait" w:w="11906"/>
      <w:pgMar w:top="709" w:right="566" w:bottom="89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284" w:left="794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56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13"/>
        </w:tabs>
        <w:spacing/>
        <w:ind w:hanging="227" w:left="1487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7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1">
    <w:name w:val="Heading 2 Char"/>
    <w:basedOn w:val="787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2">
    <w:name w:val="Heading 3 Char"/>
    <w:basedOn w:val="787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3">
    <w:name w:val="Heading 4 Char"/>
    <w:basedOn w:val="787"/>
    <w:link w:val="7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4">
    <w:name w:val="Heading 5 Char"/>
    <w:basedOn w:val="787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5">
    <w:name w:val="Heading 6 Char"/>
    <w:basedOn w:val="787"/>
    <w:link w:val="7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6">
    <w:name w:val="Heading 7 Char"/>
    <w:basedOn w:val="787"/>
    <w:link w:val="7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7">
    <w:name w:val="Heading 8 Char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Heading 9 Char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Title Char"/>
    <w:basedOn w:val="787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0">
    <w:name w:val="Subtitle Char"/>
    <w:basedOn w:val="787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1">
    <w:name w:val="Quote Char"/>
    <w:basedOn w:val="787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Intense Quote Char"/>
    <w:basedOn w:val="787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Header Char"/>
    <w:basedOn w:val="787"/>
    <w:link w:val="942"/>
    <w:uiPriority w:val="99"/>
    <w:pPr>
      <w:pBdr/>
      <w:spacing/>
      <w:ind/>
    </w:pPr>
  </w:style>
  <w:style w:type="character" w:styleId="774">
    <w:name w:val="Footer Char"/>
    <w:basedOn w:val="787"/>
    <w:link w:val="944"/>
    <w:uiPriority w:val="99"/>
    <w:pPr>
      <w:pBdr/>
      <w:spacing/>
      <w:ind/>
    </w:pPr>
  </w:style>
  <w:style w:type="character" w:styleId="775">
    <w:name w:val="Footnote Text Char"/>
    <w:basedOn w:val="787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776">
    <w:name w:val="Endnote Text Char"/>
    <w:basedOn w:val="787"/>
    <w:link w:val="950"/>
    <w:uiPriority w:val="99"/>
    <w:semiHidden/>
    <w:pPr>
      <w:pBdr/>
      <w:spacing/>
      <w:ind/>
    </w:pPr>
    <w:rPr>
      <w:sz w:val="20"/>
      <w:szCs w:val="20"/>
    </w:rPr>
  </w:style>
  <w:style w:type="paragraph" w:styleId="777" w:default="1">
    <w:name w:val="Normal"/>
    <w:qFormat/>
    <w:pPr>
      <w:pBdr/>
      <w:spacing/>
      <w:ind/>
    </w:pPr>
    <w:rPr>
      <w:sz w:val="24"/>
      <w:szCs w:val="24"/>
    </w:rPr>
  </w:style>
  <w:style w:type="paragraph" w:styleId="778">
    <w:name w:val="Heading 1"/>
    <w:basedOn w:val="777"/>
    <w:next w:val="777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79">
    <w:name w:val="Heading 2"/>
    <w:basedOn w:val="777"/>
    <w:next w:val="777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80">
    <w:name w:val="Heading 3"/>
    <w:basedOn w:val="777"/>
    <w:next w:val="777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81">
    <w:name w:val="Heading 4"/>
    <w:basedOn w:val="777"/>
    <w:next w:val="777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82">
    <w:name w:val="Heading 5"/>
    <w:basedOn w:val="777"/>
    <w:next w:val="777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83">
    <w:name w:val="Heading 6"/>
    <w:basedOn w:val="777"/>
    <w:next w:val="777"/>
    <w:link w:val="92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84">
    <w:name w:val="Heading 7"/>
    <w:basedOn w:val="777"/>
    <w:next w:val="777"/>
    <w:link w:val="92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85">
    <w:name w:val="Heading 8"/>
    <w:basedOn w:val="777"/>
    <w:next w:val="777"/>
    <w:link w:val="92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86">
    <w:name w:val="Heading 9"/>
    <w:basedOn w:val="777"/>
    <w:next w:val="777"/>
    <w:link w:val="92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table" w:styleId="790">
    <w:name w:val="Table Grid"/>
    <w:basedOn w:val="788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8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1"/>
    <w:basedOn w:val="78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2"/>
    <w:basedOn w:val="78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3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4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5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8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Заголовок 1 Знак"/>
    <w:link w:val="77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17" w:customStyle="1">
    <w:name w:val="Заголовок 2 Знак"/>
    <w:link w:val="77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18" w:customStyle="1">
    <w:name w:val="Заголовок 3 Знак"/>
    <w:link w:val="78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19" w:customStyle="1">
    <w:name w:val="Заголовок 4 Знак"/>
    <w:link w:val="78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0" w:customStyle="1">
    <w:name w:val="Заголовок 5 Знак"/>
    <w:link w:val="78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1" w:customStyle="1">
    <w:name w:val="Заголовок 6 Знак"/>
    <w:link w:val="78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22" w:customStyle="1">
    <w:name w:val="Заголовок 7 Знак"/>
    <w:link w:val="78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23" w:customStyle="1">
    <w:name w:val="Заголовок 8 Знак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24" w:customStyle="1">
    <w:name w:val="Заголовок 9 Знак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25">
    <w:name w:val="Title"/>
    <w:basedOn w:val="777"/>
    <w:next w:val="777"/>
    <w:link w:val="92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 w:customStyle="1">
    <w:name w:val="Название Знак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777"/>
    <w:next w:val="777"/>
    <w:link w:val="928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28" w:customStyle="1">
    <w:name w:val="Подзаголовок Знак"/>
    <w:link w:val="92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29">
    <w:name w:val="Quote"/>
    <w:basedOn w:val="777"/>
    <w:next w:val="777"/>
    <w:link w:val="93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30" w:customStyle="1">
    <w:name w:val="Цитата 2 Знак"/>
    <w:link w:val="929"/>
    <w:uiPriority w:val="29"/>
    <w:pPr>
      <w:pBdr/>
      <w:spacing/>
      <w:ind/>
    </w:pPr>
    <w:rPr>
      <w:i/>
      <w:iCs/>
      <w:color w:val="404040"/>
    </w:rPr>
  </w:style>
  <w:style w:type="paragraph" w:styleId="931">
    <w:name w:val="List Paragraph"/>
    <w:basedOn w:val="777"/>
    <w:uiPriority w:val="34"/>
    <w:qFormat/>
    <w:pPr>
      <w:pBdr/>
      <w:spacing/>
      <w:ind w:firstLine="397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93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33">
    <w:name w:val="Intense Quote"/>
    <w:basedOn w:val="777"/>
    <w:next w:val="777"/>
    <w:link w:val="93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34" w:customStyle="1">
    <w:name w:val="Выделенная цитата Знак"/>
    <w:link w:val="933"/>
    <w:uiPriority w:val="30"/>
    <w:pPr>
      <w:pBdr/>
      <w:spacing/>
      <w:ind/>
    </w:pPr>
    <w:rPr>
      <w:i/>
      <w:iCs/>
      <w:color w:val="365f91"/>
    </w:rPr>
  </w:style>
  <w:style w:type="character" w:styleId="93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36">
    <w:name w:val="No Spacing"/>
    <w:basedOn w:val="777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37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38">
    <w:name w:val="Emphasis"/>
    <w:uiPriority w:val="20"/>
    <w:qFormat/>
    <w:pPr>
      <w:pBdr/>
      <w:spacing/>
      <w:ind/>
    </w:pPr>
    <w:rPr>
      <w:i/>
      <w:iCs/>
    </w:rPr>
  </w:style>
  <w:style w:type="character" w:styleId="939">
    <w:name w:val="Strong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41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777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43" w:customStyle="1">
    <w:name w:val="Верхний колонтитул Знак"/>
    <w:basedOn w:val="787"/>
    <w:link w:val="942"/>
    <w:uiPriority w:val="99"/>
    <w:pPr>
      <w:pBdr/>
      <w:spacing/>
      <w:ind/>
    </w:pPr>
  </w:style>
  <w:style w:type="paragraph" w:styleId="944">
    <w:name w:val="Footer"/>
    <w:basedOn w:val="777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45" w:customStyle="1">
    <w:name w:val="Нижний колонтитул Знак"/>
    <w:basedOn w:val="787"/>
    <w:link w:val="944"/>
    <w:uiPriority w:val="99"/>
    <w:pPr>
      <w:pBdr/>
      <w:spacing/>
      <w:ind/>
    </w:pPr>
  </w:style>
  <w:style w:type="paragraph" w:styleId="946">
    <w:name w:val="Caption"/>
    <w:basedOn w:val="777"/>
    <w:next w:val="77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47">
    <w:name w:val="footnote text"/>
    <w:basedOn w:val="777"/>
    <w:link w:val="94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48" w:customStyle="1">
    <w:name w:val="Текст сноски Знак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777"/>
    <w:link w:val="95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1" w:customStyle="1">
    <w:name w:val="Текст концевой сноски Знак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pPr>
      <w:pBdr/>
      <w:spacing/>
      <w:ind/>
    </w:pPr>
    <w:rPr>
      <w:color w:val="0000ff"/>
      <w:u w:val="single"/>
    </w:rPr>
  </w:style>
  <w:style w:type="character" w:styleId="954">
    <w:name w:val="FollowedHyperlink"/>
    <w:pPr>
      <w:pBdr/>
      <w:spacing/>
      <w:ind/>
    </w:pPr>
    <w:rPr>
      <w:color w:val="954f72"/>
      <w:u w:val="single"/>
    </w:rPr>
  </w:style>
  <w:style w:type="paragraph" w:styleId="955">
    <w:name w:val="toc 1"/>
    <w:basedOn w:val="777"/>
    <w:next w:val="777"/>
    <w:uiPriority w:val="39"/>
    <w:unhideWhenUsed/>
    <w:pPr>
      <w:pBdr/>
      <w:spacing w:after="100"/>
      <w:ind/>
    </w:pPr>
  </w:style>
  <w:style w:type="paragraph" w:styleId="956">
    <w:name w:val="toc 2"/>
    <w:basedOn w:val="777"/>
    <w:next w:val="777"/>
    <w:uiPriority w:val="39"/>
    <w:unhideWhenUsed/>
    <w:pPr>
      <w:pBdr/>
      <w:spacing w:after="100"/>
      <w:ind w:left="220"/>
    </w:pPr>
  </w:style>
  <w:style w:type="paragraph" w:styleId="957">
    <w:name w:val="toc 3"/>
    <w:basedOn w:val="777"/>
    <w:next w:val="777"/>
    <w:uiPriority w:val="39"/>
    <w:unhideWhenUsed/>
    <w:pPr>
      <w:pBdr/>
      <w:spacing w:after="100"/>
      <w:ind w:left="440"/>
    </w:pPr>
  </w:style>
  <w:style w:type="paragraph" w:styleId="958">
    <w:name w:val="toc 4"/>
    <w:basedOn w:val="777"/>
    <w:next w:val="777"/>
    <w:uiPriority w:val="39"/>
    <w:unhideWhenUsed/>
    <w:pPr>
      <w:pBdr/>
      <w:spacing w:after="100"/>
      <w:ind w:left="660"/>
    </w:pPr>
  </w:style>
  <w:style w:type="paragraph" w:styleId="959">
    <w:name w:val="toc 5"/>
    <w:basedOn w:val="777"/>
    <w:next w:val="777"/>
    <w:uiPriority w:val="39"/>
    <w:unhideWhenUsed/>
    <w:pPr>
      <w:pBdr/>
      <w:spacing w:after="100"/>
      <w:ind w:left="880"/>
    </w:pPr>
  </w:style>
  <w:style w:type="paragraph" w:styleId="960">
    <w:name w:val="toc 6"/>
    <w:basedOn w:val="777"/>
    <w:next w:val="777"/>
    <w:uiPriority w:val="39"/>
    <w:unhideWhenUsed/>
    <w:pPr>
      <w:pBdr/>
      <w:spacing w:after="100"/>
      <w:ind w:left="1100"/>
    </w:pPr>
  </w:style>
  <w:style w:type="paragraph" w:styleId="961">
    <w:name w:val="toc 7"/>
    <w:basedOn w:val="777"/>
    <w:next w:val="777"/>
    <w:uiPriority w:val="39"/>
    <w:unhideWhenUsed/>
    <w:pPr>
      <w:pBdr/>
      <w:spacing w:after="100"/>
      <w:ind w:left="1320"/>
    </w:pPr>
  </w:style>
  <w:style w:type="paragraph" w:styleId="962">
    <w:name w:val="toc 8"/>
    <w:basedOn w:val="777"/>
    <w:next w:val="777"/>
    <w:uiPriority w:val="39"/>
    <w:unhideWhenUsed/>
    <w:pPr>
      <w:pBdr/>
      <w:spacing w:after="100"/>
      <w:ind w:left="1540"/>
    </w:pPr>
  </w:style>
  <w:style w:type="paragraph" w:styleId="963">
    <w:name w:val="toc 9"/>
    <w:basedOn w:val="777"/>
    <w:next w:val="777"/>
    <w:uiPriority w:val="39"/>
    <w:unhideWhenUsed/>
    <w:pPr>
      <w:pBdr/>
      <w:spacing w:after="100"/>
      <w:ind w:left="1760"/>
    </w:pPr>
  </w:style>
  <w:style w:type="character" w:styleId="964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65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66">
    <w:name w:val="table of figures"/>
    <w:basedOn w:val="777"/>
    <w:next w:val="777"/>
    <w:uiPriority w:val="99"/>
    <w:unhideWhenUsed/>
    <w:pPr>
      <w:pBdr/>
      <w:spacing/>
      <w:ind/>
    </w:pPr>
  </w:style>
  <w:style w:type="paragraph" w:styleId="967" w:customStyle="1">
    <w:name w:val="Default"/>
    <w:pPr>
      <w:pBdr/>
      <w:spacing/>
      <w:ind/>
    </w:pPr>
    <w:rPr>
      <w:rFonts w:cs="Calibri"/>
      <w:color w:val="000000"/>
      <w:sz w:val="24"/>
      <w:szCs w:val="24"/>
      <w:lang w:eastAsia="ar-SA"/>
    </w:rPr>
  </w:style>
  <w:style w:type="paragraph" w:styleId="968">
    <w:name w:val="Body Text Indent"/>
    <w:basedOn w:val="777"/>
    <w:link w:val="969"/>
    <w:pPr>
      <w:pBdr/>
      <w:spacing/>
      <w:ind w:firstLine="720"/>
      <w:jc w:val="both"/>
    </w:pPr>
    <w:rPr>
      <w:color w:val="ff6600"/>
      <w:sz w:val="26"/>
      <w:lang w:val="en-US" w:eastAsia="en-US"/>
    </w:rPr>
  </w:style>
  <w:style w:type="character" w:styleId="969" w:customStyle="1">
    <w:name w:val="Основной текст с отступом Знак"/>
    <w:link w:val="968"/>
    <w:pPr>
      <w:pBdr/>
      <w:spacing/>
      <w:ind/>
    </w:pPr>
    <w:rPr>
      <w:color w:val="ff6600"/>
      <w:sz w:val="26"/>
      <w:szCs w:val="24"/>
    </w:rPr>
  </w:style>
  <w:style w:type="paragraph" w:styleId="970">
    <w:name w:val="Balloon Text"/>
    <w:basedOn w:val="777"/>
    <w:link w:val="971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1" w:customStyle="1">
    <w:name w:val="Текст выноски Знак"/>
    <w:link w:val="970"/>
    <w:pPr>
      <w:pBdr/>
      <w:spacing/>
      <w:ind/>
    </w:pPr>
    <w:rPr>
      <w:rFonts w:ascii="Tahoma" w:hAnsi="Tahoma" w:cs="Tahoma"/>
      <w:sz w:val="16"/>
      <w:szCs w:val="16"/>
    </w:rPr>
  </w:style>
  <w:style w:type="character" w:styleId="972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3" w:customStyle="1">
    <w:name w:val="styledparagraph-sc-tbetod-0"/>
    <w:basedOn w:val="777"/>
    <w:pPr>
      <w:pBdr/>
      <w:spacing w:after="100" w:afterAutospacing="1" w:before="100" w:beforeAutospacing="1"/>
      <w:ind/>
    </w:pPr>
  </w:style>
  <w:style w:type="paragraph" w:styleId="974" w:customStyle="1">
    <w:name w:val="Без интервала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7" w:hanging="10" w:left="1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sport.gov.ru/activity/government-regulation/vidy-sporta-razvivaemye-na-obshherossijskom-urovne/letnie-olimpijskie-vidy-sporta-2/triatlon-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45</cp:revision>
  <dcterms:created xsi:type="dcterms:W3CDTF">2024-06-25T10:15:00Z</dcterms:created>
  <dcterms:modified xsi:type="dcterms:W3CDTF">2026-04-24T01:31:17Z</dcterms:modified>
  <cp:version>917504</cp:version>
</cp:coreProperties>
</file>